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C4" w:rsidRPr="001D15C4" w:rsidRDefault="001D15C4" w:rsidP="001D15C4">
      <w:pPr>
        <w:pStyle w:val="a3"/>
        <w:rPr>
          <w:rFonts w:ascii="Times New Roman" w:hAnsi="Times New Roman" w:cs="Times New Roman"/>
          <w:i/>
          <w:sz w:val="28"/>
          <w:szCs w:val="28"/>
          <w:highlight w:val="lightGray"/>
        </w:rPr>
      </w:pPr>
      <w:bookmarkStart w:id="0" w:name="_GoBack"/>
      <w:r w:rsidRPr="001D15C4">
        <w:rPr>
          <w:rFonts w:ascii="Times New Roman" w:hAnsi="Times New Roman" w:cs="Times New Roman"/>
          <w:i/>
          <w:sz w:val="28"/>
          <w:szCs w:val="28"/>
          <w:highlight w:val="lightGray"/>
        </w:rPr>
        <w:t>Образец искового заявления в суд об</w:t>
      </w:r>
    </w:p>
    <w:p w:rsidR="001D15C4" w:rsidRPr="006D44E6" w:rsidRDefault="001D15C4" w:rsidP="001D15C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D15C4">
        <w:rPr>
          <w:rFonts w:ascii="Times New Roman" w:hAnsi="Times New Roman" w:cs="Times New Roman"/>
          <w:i/>
          <w:color w:val="000000"/>
          <w:sz w:val="28"/>
          <w:szCs w:val="28"/>
          <w:highlight w:val="lightGray"/>
          <w:shd w:val="clear" w:color="auto" w:fill="FFFFFF"/>
        </w:rPr>
        <w:t>исключении задолженности</w:t>
      </w:r>
      <w:bookmarkEnd w:id="0"/>
      <w:r w:rsidRPr="001D15C4">
        <w:rPr>
          <w:rFonts w:ascii="Times New Roman" w:hAnsi="Times New Roman" w:cs="Times New Roman"/>
          <w:i/>
          <w:color w:val="000000"/>
          <w:sz w:val="28"/>
          <w:szCs w:val="28"/>
          <w:highlight w:val="lightGray"/>
          <w:shd w:val="clear" w:color="auto" w:fill="FFFFFF"/>
        </w:rPr>
        <w:t xml:space="preserve"> за оплату жилья и коммунальные услуги, выставленную за пределами срока исковой давности</w:t>
      </w:r>
      <w:r w:rsidRPr="006D44E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</w:t>
      </w:r>
    </w:p>
    <w:p w:rsidR="001D15C4" w:rsidRDefault="001D15C4" w:rsidP="001D15C4">
      <w:pPr>
        <w:pStyle w:val="a3"/>
        <w:jc w:val="right"/>
      </w:pPr>
    </w:p>
    <w:p w:rsidR="001D15C4" w:rsidRDefault="001D15C4" w:rsidP="001D15C4">
      <w:pPr>
        <w:pStyle w:val="a3"/>
        <w:jc w:val="right"/>
      </w:pPr>
    </w:p>
    <w:p w:rsidR="001D15C4" w:rsidRDefault="001D15C4" w:rsidP="001D15C4">
      <w:pPr>
        <w:pStyle w:val="a3"/>
        <w:jc w:val="right"/>
      </w:pPr>
    </w:p>
    <w:p w:rsidR="001D15C4" w:rsidRDefault="001D15C4" w:rsidP="001D15C4">
      <w:pPr>
        <w:pStyle w:val="a3"/>
        <w:jc w:val="right"/>
      </w:pPr>
    </w:p>
    <w:p w:rsidR="001D15C4" w:rsidRDefault="001D15C4" w:rsidP="001D15C4">
      <w:pPr>
        <w:pStyle w:val="a3"/>
        <w:jc w:val="right"/>
      </w:pPr>
      <w:r>
        <w:t xml:space="preserve">                                                                             М</w:t>
      </w:r>
      <w:r w:rsidRPr="00441C07">
        <w:t>ировому судье судебного участка №</w:t>
      </w:r>
      <w:r>
        <w:t xml:space="preserve">            </w:t>
      </w:r>
    </w:p>
    <w:p w:rsidR="001D15C4" w:rsidRPr="00441C07" w:rsidRDefault="001D15C4" w:rsidP="001D15C4">
      <w:pPr>
        <w:pStyle w:val="a3"/>
        <w:jc w:val="right"/>
      </w:pPr>
      <w:r>
        <w:t>_____________________________________</w:t>
      </w:r>
    </w:p>
    <w:p w:rsidR="001D15C4" w:rsidRPr="00441C07" w:rsidRDefault="001D15C4" w:rsidP="001D15C4">
      <w:pPr>
        <w:pStyle w:val="a3"/>
        <w:jc w:val="right"/>
      </w:pPr>
      <w:r w:rsidRPr="00441C07">
        <w:t xml:space="preserve">                                                                                                      г. </w:t>
      </w:r>
      <w:r>
        <w:t>____________________________________</w:t>
      </w:r>
    </w:p>
    <w:p w:rsidR="001D15C4" w:rsidRPr="00441C07" w:rsidRDefault="001D15C4" w:rsidP="001D15C4">
      <w:pPr>
        <w:pStyle w:val="a3"/>
        <w:jc w:val="right"/>
      </w:pPr>
      <w:r w:rsidRPr="00441C07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   </w:t>
      </w:r>
      <w:r w:rsidRPr="00441C07">
        <w:rPr>
          <w:b/>
        </w:rPr>
        <w:t>Истец:</w:t>
      </w:r>
      <w:r w:rsidRPr="00441C07">
        <w:t xml:space="preserve"> </w:t>
      </w:r>
      <w:r>
        <w:t>_</w:t>
      </w:r>
      <w:r>
        <w:t>____________________________________</w:t>
      </w:r>
    </w:p>
    <w:p w:rsidR="001D15C4" w:rsidRPr="00441C07" w:rsidRDefault="001D15C4" w:rsidP="001D15C4">
      <w:pPr>
        <w:pStyle w:val="a3"/>
        <w:jc w:val="right"/>
      </w:pPr>
      <w:r w:rsidRPr="00441C07">
        <w:t xml:space="preserve">                                                                                                      место проживания: </w:t>
      </w:r>
      <w:r>
        <w:t>_____________________________________</w:t>
      </w:r>
      <w:r w:rsidRPr="00441C07">
        <w:t xml:space="preserve"> </w:t>
      </w:r>
    </w:p>
    <w:p w:rsidR="001D15C4" w:rsidRPr="00441C07" w:rsidRDefault="001D15C4" w:rsidP="001D15C4">
      <w:pPr>
        <w:pStyle w:val="a3"/>
        <w:jc w:val="right"/>
      </w:pPr>
      <w:r w:rsidRPr="00441C07">
        <w:t xml:space="preserve">                                                                                                      </w:t>
      </w:r>
      <w:r w:rsidRPr="00441C07">
        <w:rPr>
          <w:b/>
        </w:rPr>
        <w:t>Ответчик:</w:t>
      </w:r>
      <w:r w:rsidRPr="00441C07">
        <w:t xml:space="preserve"> </w:t>
      </w:r>
      <w:r>
        <w:t>_____________________________________</w:t>
      </w:r>
    </w:p>
    <w:p w:rsidR="001D15C4" w:rsidRPr="00441C07" w:rsidRDefault="001D15C4" w:rsidP="001D15C4">
      <w:pPr>
        <w:pStyle w:val="a3"/>
        <w:jc w:val="right"/>
      </w:pPr>
      <w:r w:rsidRPr="00441C07">
        <w:t xml:space="preserve">                                                                                                      место нахождения: </w:t>
      </w:r>
      <w:r>
        <w:t>_____________________________________</w:t>
      </w:r>
    </w:p>
    <w:p w:rsidR="001D15C4" w:rsidRPr="00441C07" w:rsidRDefault="001D15C4" w:rsidP="001D15C4">
      <w:pPr>
        <w:pStyle w:val="a3"/>
        <w:jc w:val="right"/>
      </w:pPr>
    </w:p>
    <w:p w:rsidR="001D15C4" w:rsidRPr="00441C07" w:rsidRDefault="001D15C4" w:rsidP="001D15C4">
      <w:pPr>
        <w:pStyle w:val="a3"/>
      </w:pPr>
    </w:p>
    <w:p w:rsidR="001D15C4" w:rsidRPr="00441C07" w:rsidRDefault="001D15C4" w:rsidP="001D15C4">
      <w:pPr>
        <w:pStyle w:val="a3"/>
        <w:jc w:val="center"/>
        <w:rPr>
          <w:sz w:val="24"/>
          <w:szCs w:val="24"/>
        </w:rPr>
      </w:pPr>
      <w:r w:rsidRPr="00441C07">
        <w:rPr>
          <w:sz w:val="24"/>
          <w:szCs w:val="24"/>
        </w:rPr>
        <w:t>ИСКОВОЕ ЗАЯВЛЕНИЕ</w:t>
      </w:r>
    </w:p>
    <w:p w:rsidR="001D15C4" w:rsidRPr="00441C07" w:rsidRDefault="001D15C4" w:rsidP="001D15C4">
      <w:pPr>
        <w:pStyle w:val="a3"/>
        <w:jc w:val="both"/>
        <w:rPr>
          <w:sz w:val="24"/>
          <w:szCs w:val="24"/>
        </w:rPr>
      </w:pPr>
    </w:p>
    <w:p w:rsidR="001D15C4" w:rsidRPr="00441C07" w:rsidRDefault="001D15C4" w:rsidP="001D15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41C07">
        <w:rPr>
          <w:sz w:val="24"/>
          <w:szCs w:val="24"/>
        </w:rPr>
        <w:t xml:space="preserve">Я, </w:t>
      </w:r>
      <w:r>
        <w:rPr>
          <w:sz w:val="24"/>
          <w:szCs w:val="24"/>
        </w:rPr>
        <w:t>______________________________</w:t>
      </w:r>
      <w:r w:rsidRPr="00441C07">
        <w:rPr>
          <w:sz w:val="24"/>
          <w:szCs w:val="24"/>
        </w:rPr>
        <w:t xml:space="preserve">, являюсь собственницей квартиры № </w:t>
      </w:r>
      <w:r>
        <w:rPr>
          <w:sz w:val="24"/>
          <w:szCs w:val="24"/>
        </w:rPr>
        <w:t>____</w:t>
      </w:r>
      <w:r w:rsidRPr="00441C07">
        <w:rPr>
          <w:sz w:val="24"/>
          <w:szCs w:val="24"/>
        </w:rPr>
        <w:t xml:space="preserve"> по ул. </w:t>
      </w:r>
      <w:r>
        <w:rPr>
          <w:sz w:val="24"/>
          <w:szCs w:val="24"/>
        </w:rPr>
        <w:t>_____________</w:t>
      </w:r>
      <w:r w:rsidRPr="00441C07">
        <w:rPr>
          <w:sz w:val="24"/>
          <w:szCs w:val="24"/>
        </w:rPr>
        <w:t xml:space="preserve"> в г. </w:t>
      </w:r>
      <w:r>
        <w:rPr>
          <w:sz w:val="24"/>
          <w:szCs w:val="24"/>
        </w:rPr>
        <w:t>_____________</w:t>
      </w:r>
      <w:r w:rsidRPr="00441C07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_________(дата) </w:t>
      </w:r>
      <w:r w:rsidRPr="00441C07">
        <w:rPr>
          <w:sz w:val="24"/>
          <w:szCs w:val="24"/>
        </w:rPr>
        <w:t xml:space="preserve">со стороны ответчика мне была впервые выставлена квитанция об оплате взноса за капитальный ремонт </w:t>
      </w:r>
      <w:r>
        <w:rPr>
          <w:sz w:val="24"/>
          <w:szCs w:val="24"/>
        </w:rPr>
        <w:t>с наличием долга с ____________(дата)</w:t>
      </w:r>
      <w:r w:rsidRPr="00441C07">
        <w:rPr>
          <w:sz w:val="24"/>
          <w:szCs w:val="24"/>
        </w:rPr>
        <w:t xml:space="preserve">.  До </w:t>
      </w:r>
      <w:r>
        <w:rPr>
          <w:sz w:val="24"/>
          <w:szCs w:val="24"/>
        </w:rPr>
        <w:t>_______ (даты)</w:t>
      </w:r>
      <w:r w:rsidRPr="00441C07">
        <w:rPr>
          <w:sz w:val="24"/>
          <w:szCs w:val="24"/>
        </w:rPr>
        <w:t xml:space="preserve"> квитанции об оплате со стороны ответчика не направлялись. </w:t>
      </w:r>
    </w:p>
    <w:p w:rsidR="001D15C4" w:rsidRPr="00441C07" w:rsidRDefault="001D15C4" w:rsidP="001D15C4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Pr="00441C07">
        <w:rPr>
          <w:rFonts w:cs="Times New Roman"/>
          <w:sz w:val="24"/>
          <w:szCs w:val="24"/>
        </w:rPr>
        <w:t>В соответствии с частью 2 статьи 154 Жилищного Кодекса Российской Федерации</w:t>
      </w:r>
      <w:r>
        <w:rPr>
          <w:rFonts w:cs="Times New Roman"/>
          <w:sz w:val="24"/>
          <w:szCs w:val="24"/>
        </w:rPr>
        <w:t>,</w:t>
      </w:r>
      <w:r w:rsidRPr="00441C07">
        <w:rPr>
          <w:rFonts w:cs="Times New Roman"/>
          <w:sz w:val="24"/>
          <w:szCs w:val="24"/>
        </w:rPr>
        <w:t xml:space="preserve"> плата за жилое помещение и коммунальные услуги для собственника помещения в многоквартирном доме включает в себя:</w:t>
      </w:r>
    </w:p>
    <w:p w:rsidR="001D15C4" w:rsidRPr="00441C07" w:rsidRDefault="001D15C4" w:rsidP="001D15C4">
      <w:pPr>
        <w:pStyle w:val="a3"/>
        <w:jc w:val="both"/>
        <w:rPr>
          <w:rFonts w:cs="Times New Roman"/>
          <w:sz w:val="24"/>
          <w:szCs w:val="24"/>
        </w:rPr>
      </w:pPr>
      <w:r w:rsidRPr="00441C07">
        <w:rPr>
          <w:rFonts w:cs="Times New Roman"/>
          <w:sz w:val="24"/>
          <w:szCs w:val="24"/>
        </w:rPr>
        <w:t xml:space="preserve">1) плату за содержание жилого помещения </w:t>
      </w:r>
      <w:r>
        <w:rPr>
          <w:rFonts w:cs="Times New Roman"/>
          <w:sz w:val="24"/>
          <w:szCs w:val="24"/>
        </w:rPr>
        <w:t>–</w:t>
      </w:r>
      <w:r w:rsidRPr="00441C07">
        <w:rPr>
          <w:rFonts w:cs="Times New Roman"/>
          <w:sz w:val="24"/>
          <w:szCs w:val="24"/>
        </w:rPr>
        <w:t xml:space="preserve">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</w:p>
    <w:p w:rsidR="001D15C4" w:rsidRPr="00441C07" w:rsidRDefault="001D15C4" w:rsidP="001D15C4">
      <w:pPr>
        <w:pStyle w:val="a3"/>
        <w:jc w:val="both"/>
        <w:rPr>
          <w:rFonts w:cs="Times New Roman"/>
          <w:sz w:val="24"/>
          <w:szCs w:val="24"/>
        </w:rPr>
      </w:pPr>
      <w:r w:rsidRPr="00441C07">
        <w:rPr>
          <w:rFonts w:cs="Times New Roman"/>
          <w:sz w:val="24"/>
          <w:szCs w:val="24"/>
        </w:rPr>
        <w:t>2) взнос на капитальный ремонт;</w:t>
      </w:r>
    </w:p>
    <w:p w:rsidR="001D15C4" w:rsidRPr="00441C07" w:rsidRDefault="001D15C4" w:rsidP="001D15C4">
      <w:pPr>
        <w:pStyle w:val="a3"/>
        <w:jc w:val="both"/>
        <w:rPr>
          <w:rFonts w:cs="Times New Roman"/>
          <w:sz w:val="24"/>
          <w:szCs w:val="24"/>
        </w:rPr>
      </w:pPr>
      <w:r w:rsidRPr="00441C07">
        <w:rPr>
          <w:rFonts w:cs="Times New Roman"/>
          <w:sz w:val="24"/>
          <w:szCs w:val="24"/>
        </w:rPr>
        <w:t>3) плату за коммунальные услуги.</w:t>
      </w:r>
    </w:p>
    <w:p w:rsidR="001D15C4" w:rsidRDefault="001D15C4" w:rsidP="001D15C4">
      <w:pPr>
        <w:pStyle w:val="a3"/>
        <w:jc w:val="both"/>
        <w:rPr>
          <w:sz w:val="24"/>
          <w:szCs w:val="24"/>
        </w:rPr>
      </w:pPr>
    </w:p>
    <w:p w:rsidR="001D15C4" w:rsidRPr="00441C07" w:rsidRDefault="001D15C4" w:rsidP="001D15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Таким образом, взносы на капитальный ремонт входят в структуру оплаты за жилье для собственников жилых помещений. </w:t>
      </w:r>
    </w:p>
    <w:p w:rsidR="001D15C4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441C07">
        <w:rPr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 частью 1 статьи 196 Гражданского кодекса РФ, общий срок исковой давности составляет три года со дня, определяемого в соответствии со статьей 200 настоящего кодекса. </w:t>
      </w:r>
      <w:r w:rsidRPr="00441C07">
        <w:rPr>
          <w:sz w:val="24"/>
          <w:szCs w:val="24"/>
        </w:rPr>
        <w:t xml:space="preserve"> </w:t>
      </w:r>
      <w:r w:rsidRPr="00707474">
        <w:rPr>
          <w:rFonts w:eastAsia="Times New Roman" w:cs="Arial"/>
          <w:color w:val="000000"/>
          <w:sz w:val="24"/>
          <w:szCs w:val="24"/>
          <w:lang w:eastAsia="ru-RU"/>
        </w:rPr>
        <w:t xml:space="preserve">Истечение трехлетнего срока исковой давности согласно </w:t>
      </w:r>
      <w:proofErr w:type="spellStart"/>
      <w:r w:rsidRPr="00707474">
        <w:rPr>
          <w:rFonts w:eastAsia="Times New Roman" w:cs="Arial"/>
          <w:color w:val="000000"/>
          <w:sz w:val="24"/>
          <w:szCs w:val="24"/>
          <w:lang w:eastAsia="ru-RU"/>
        </w:rPr>
        <w:t>абз</w:t>
      </w:r>
      <w:proofErr w:type="spellEnd"/>
      <w:r w:rsidRPr="00707474">
        <w:rPr>
          <w:rFonts w:eastAsia="Times New Roman" w:cs="Arial"/>
          <w:color w:val="000000"/>
          <w:sz w:val="24"/>
          <w:szCs w:val="24"/>
          <w:lang w:eastAsia="ru-RU"/>
        </w:rPr>
        <w:t>. 2 п. 2 ст.199 Гражданского кодекса Российской Федерации, является основанием к вынесению судом решения об отказе в иске о взыскании, но истечение срока исковой давности не является основанием для прекращения обязательств (ст. 407 Гражданского кодекса Российской Федерации).</w:t>
      </w:r>
      <w:r w:rsidRPr="003A1473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p w:rsidR="001D15C4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Действительно, истечение срока исковой давности не влечет прекращение обязательств. 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Заявить о сроке исковой давности может только ответчик в ходе разбирательства при разрешении исковых требований истца о понуждении к исполнению обязательства. </w:t>
      </w:r>
    </w:p>
    <w:p w:rsidR="001D15C4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3A1473"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>Вместе с тем</w:t>
      </w:r>
      <w:r>
        <w:rPr>
          <w:rFonts w:eastAsia="Times New Roman" w:cs="Arial"/>
          <w:color w:val="000000"/>
          <w:sz w:val="24"/>
          <w:szCs w:val="24"/>
          <w:lang w:eastAsia="ru-RU"/>
        </w:rPr>
        <w:t>,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 в отсутствие согласия истц</w:t>
      </w:r>
      <w:r>
        <w:rPr>
          <w:rFonts w:eastAsia="Times New Roman" w:cs="Arial"/>
          <w:color w:val="000000"/>
          <w:sz w:val="24"/>
          <w:szCs w:val="24"/>
          <w:lang w:eastAsia="ru-RU"/>
        </w:rPr>
        <w:t>а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 в счёт исполнения данных обязательств согласно п. 3 ст. 319.1 Гражданского кодекса Российской Федерации 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eastAsia="Times New Roman" w:cs="Arial"/>
          <w:color w:val="000000"/>
          <w:sz w:val="24"/>
          <w:szCs w:val="24"/>
          <w:lang w:eastAsia="ru-RU"/>
        </w:rPr>
        <w:t>абз</w:t>
      </w:r>
      <w:proofErr w:type="spellEnd"/>
      <w:r>
        <w:rPr>
          <w:rFonts w:eastAsia="Times New Roman" w:cs="Arial"/>
          <w:color w:val="000000"/>
          <w:sz w:val="24"/>
          <w:szCs w:val="24"/>
          <w:lang w:eastAsia="ru-RU"/>
        </w:rPr>
        <w:t>. 4 п. 32 П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>остановления Пленума Верховного Суда РФ от 27.06.2017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щего им на праве собственности» не могут быть отнесены те суммы, в отношении которых собственник не указал, в счет какого расчетного периода им осуществлено исполнение, поскольку исполненное засчитывается только за те периоды, по которым срок исковой давности не истек. Таким образом, оплата должна 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>засчитыва</w:t>
      </w:r>
      <w:r>
        <w:rPr>
          <w:rFonts w:eastAsia="Times New Roman" w:cs="Arial"/>
          <w:color w:val="000000"/>
          <w:sz w:val="24"/>
          <w:szCs w:val="24"/>
          <w:lang w:eastAsia="ru-RU"/>
        </w:rPr>
        <w:t>ться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 только за периоды, по которым срок исковой давности не истек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. 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1D15C4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Отражение данной задолженности на лицевом счёте, открытом для начисления платы за </w:t>
      </w:r>
      <w:r>
        <w:rPr>
          <w:rFonts w:eastAsia="Times New Roman" w:cs="Arial"/>
          <w:color w:val="000000"/>
          <w:sz w:val="24"/>
          <w:szCs w:val="24"/>
          <w:lang w:eastAsia="ru-RU"/>
        </w:rPr>
        <w:t>капитальный ремонт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>, а также включение данной задолженности в платежные документы, создаёт угрозу нарушения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моих 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прав вследствие того, что </w:t>
      </w:r>
      <w:r>
        <w:rPr>
          <w:rFonts w:eastAsia="Times New Roman" w:cs="Arial"/>
          <w:color w:val="000000"/>
          <w:sz w:val="24"/>
          <w:szCs w:val="24"/>
          <w:lang w:eastAsia="ru-RU"/>
        </w:rPr>
        <w:t>я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 лишаю</w:t>
      </w:r>
      <w:r>
        <w:rPr>
          <w:rFonts w:eastAsia="Times New Roman" w:cs="Arial"/>
          <w:color w:val="000000"/>
          <w:sz w:val="24"/>
          <w:szCs w:val="24"/>
          <w:lang w:eastAsia="ru-RU"/>
        </w:rPr>
        <w:t>сь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 возможности получать меры социальной поддержки, обусловленные отсутствием задолженности за </w:t>
      </w:r>
      <w:r>
        <w:rPr>
          <w:rFonts w:eastAsia="Times New Roman" w:cs="Arial"/>
          <w:color w:val="000000"/>
          <w:sz w:val="24"/>
          <w:szCs w:val="24"/>
          <w:lang w:eastAsia="ru-RU"/>
        </w:rPr>
        <w:t>оплату жилья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>.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Кроме того, 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ответчик 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>создает угрозу применения мер воздействия на должников в виде начисления пени на просроченную задолженность (ч. 14 ст. 155 Жилищного кодекса Российской Федерации</w:t>
      </w:r>
      <w:r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1D15C4" w:rsidRPr="003A1473" w:rsidRDefault="001D15C4" w:rsidP="001D15C4">
      <w:pPr>
        <w:pStyle w:val="a3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          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>В настоящее время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441C07">
        <w:t>Региональный фонд содействия</w:t>
      </w:r>
      <w:r>
        <w:t xml:space="preserve"> капитальному ремонту общего имущества </w:t>
      </w:r>
      <w:r w:rsidRPr="00441C07">
        <w:t xml:space="preserve">  </w:t>
      </w:r>
      <w:r>
        <w:t xml:space="preserve">в многоквартирных домах </w:t>
      </w:r>
      <w:r w:rsidRPr="00441C07">
        <w:t xml:space="preserve">   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 утратил возможность реализовать судебный способ защиты нарушенных прав, соответственно он не вправе применять иные, внесудебные способы понуждения должника к исполнению обязательств, вследствие чего истцы вправе требовать пресечения действий, нарушающих их право или создающих угрозу его нарушения (</w:t>
      </w:r>
      <w:proofErr w:type="spellStart"/>
      <w:r w:rsidRPr="003A1473">
        <w:rPr>
          <w:rFonts w:eastAsia="Times New Roman" w:cs="Arial"/>
          <w:color w:val="000000"/>
          <w:sz w:val="24"/>
          <w:szCs w:val="24"/>
          <w:lang w:eastAsia="ru-RU"/>
        </w:rPr>
        <w:t>абз</w:t>
      </w:r>
      <w:proofErr w:type="spellEnd"/>
      <w:r w:rsidRPr="003A1473">
        <w:rPr>
          <w:rFonts w:eastAsia="Times New Roman" w:cs="Arial"/>
          <w:color w:val="000000"/>
          <w:sz w:val="24"/>
          <w:szCs w:val="24"/>
          <w:lang w:eastAsia="ru-RU"/>
        </w:rPr>
        <w:t>. 3 ст. 12 Гражданского кодекса Российской Федерации).</w:t>
      </w:r>
    </w:p>
    <w:p w:rsidR="001D15C4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>Применительно к настоящему делу пресечением та</w:t>
      </w:r>
      <w:r>
        <w:rPr>
          <w:rFonts w:eastAsia="Times New Roman" w:cs="Arial"/>
          <w:color w:val="000000"/>
          <w:sz w:val="24"/>
          <w:szCs w:val="24"/>
          <w:lang w:eastAsia="ru-RU"/>
        </w:rPr>
        <w:t>ких действий является возложение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 на ответчика обязанности произвести перерасчёт задолженности путём исключени</w:t>
      </w: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я 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 xml:space="preserve">из задолженности за </w:t>
      </w:r>
      <w:r>
        <w:rPr>
          <w:rFonts w:eastAsia="Times New Roman" w:cs="Arial"/>
          <w:color w:val="000000"/>
          <w:sz w:val="24"/>
          <w:szCs w:val="24"/>
          <w:lang w:eastAsia="ru-RU"/>
        </w:rPr>
        <w:t>оплату взносов за капитальный ремонт долга за пределами срока исковой давности</w:t>
      </w:r>
      <w:r w:rsidRPr="003A1473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1D15C4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>Данная позиция подтверждена апелляционным определением судебной коллегии по гражданским делам Свердловского областного суда от 07.08.2019 года по делу № 33-12696/2019 г.</w:t>
      </w:r>
    </w:p>
    <w:p w:rsidR="001D15C4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При таких обстоятельствах считаю, что требование об оплате взносов за капитальный ремонт может быть выставлено в только в пределах срока исковой давности за три предшествующих года. </w:t>
      </w:r>
    </w:p>
    <w:p w:rsidR="001D15C4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Настоящий иск подан 18 февраля 2021 года, соответственно, </w:t>
      </w:r>
      <w:proofErr w:type="spellStart"/>
      <w:r>
        <w:rPr>
          <w:rFonts w:eastAsia="Times New Roman" w:cs="Arial"/>
          <w:color w:val="000000"/>
          <w:sz w:val="24"/>
          <w:szCs w:val="24"/>
          <w:lang w:eastAsia="ru-RU"/>
        </w:rPr>
        <w:t>задавненным</w:t>
      </w:r>
      <w:proofErr w:type="spellEnd"/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 долгом может являться задолженность за оплату взносов за капитальный ремонт, начисленная до 31.12.2017 года, поскольку срок внесения платы за декабрь 2017 истекает 10.01.2018 года (ч. 1 статьи 155 ЖК РФ). </w:t>
      </w:r>
    </w:p>
    <w:p w:rsidR="001D15C4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В 2014 году сумма, начисленная за капитальный ремонт, составила 6,10 руб. *82,1=500,81, в 2015 году 8,20*82,1=673,22, в 2016 году 8,52*82,1=699,492, в 2017 году 8,52*82,1=699,492, в 2018 году 9*82,1=738,8 руб. </w:t>
      </w:r>
    </w:p>
    <w:p w:rsidR="001D15C4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1D15C4" w:rsidRPr="003A1473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1D15C4" w:rsidRPr="003A1473" w:rsidRDefault="001D15C4" w:rsidP="001D15C4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Месяц, год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начисленная за капитальный ремонт, руб.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2014 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500,81 руб.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2014 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500,81 руб.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2015 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 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2015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673,22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2016 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2016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2017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699,49</w:t>
            </w:r>
          </w:p>
        </w:tc>
      </w:tr>
      <w:tr w:rsidR="001D15C4" w:rsidTr="00DD231C">
        <w:tc>
          <w:tcPr>
            <w:tcW w:w="2689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6656" w:type="dxa"/>
          </w:tcPr>
          <w:p w:rsidR="001D15C4" w:rsidRDefault="001D15C4" w:rsidP="00DD231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25868,02 рублей</w:t>
            </w:r>
          </w:p>
        </w:tc>
      </w:tr>
    </w:tbl>
    <w:p w:rsidR="001D15C4" w:rsidRDefault="001D15C4" w:rsidP="001D15C4">
      <w:pPr>
        <w:pStyle w:val="a3"/>
        <w:jc w:val="both"/>
        <w:rPr>
          <w:sz w:val="24"/>
          <w:szCs w:val="24"/>
        </w:rPr>
      </w:pPr>
    </w:p>
    <w:p w:rsidR="001D15C4" w:rsidRDefault="001D15C4" w:rsidP="001D15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мне необоснованно выставлен долг за капитальный ремонт с ноября 2014 года по декабрь 2017 года в размере 25 868,02 рублей. </w:t>
      </w:r>
    </w:p>
    <w:p w:rsidR="001D15C4" w:rsidRDefault="001D15C4" w:rsidP="001D15C4">
      <w:pPr>
        <w:pStyle w:val="a3"/>
        <w:jc w:val="both"/>
        <w:rPr>
          <w:sz w:val="24"/>
          <w:szCs w:val="24"/>
        </w:rPr>
      </w:pPr>
    </w:p>
    <w:p w:rsidR="001D15C4" w:rsidRDefault="001D15C4" w:rsidP="001D15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3 Гражданско-процессуального Кодекса РФ заинтересованное лицо вправе в порядке, установленном законодательством о гражданском судопроизводстве, обратиться в суд за защитой нарушенных или оспариваемых прав, свобод или законных интересов. </w:t>
      </w:r>
    </w:p>
    <w:p w:rsidR="001D15C4" w:rsidRDefault="001D15C4" w:rsidP="001D15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1D15C4" w:rsidRDefault="001D15C4" w:rsidP="001D15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вышеизложенного, руководствуясь статьями 131, 132 ГПК РФ, прошу суд:</w:t>
      </w:r>
    </w:p>
    <w:p w:rsidR="001D15C4" w:rsidRDefault="001D15C4" w:rsidP="001D15C4">
      <w:pPr>
        <w:pStyle w:val="a3"/>
        <w:jc w:val="both"/>
        <w:rPr>
          <w:sz w:val="24"/>
          <w:szCs w:val="24"/>
        </w:rPr>
      </w:pPr>
    </w:p>
    <w:p w:rsidR="001D15C4" w:rsidRDefault="001D15C4" w:rsidP="001D15C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Признать незаконными действия Регионального фонда содействия капитальному ремонту общего имущества в многоквартирных домах Свердловской области по </w:t>
      </w:r>
      <w:r>
        <w:rPr>
          <w:sz w:val="24"/>
          <w:szCs w:val="24"/>
        </w:rPr>
        <w:lastRenderedPageBreak/>
        <w:t>начислению взносов за капитальный ремонт в период с 1 ноября 2014 года по 31.12.2017 года в размере 25868,02 рублей;</w:t>
      </w:r>
    </w:p>
    <w:p w:rsidR="001D15C4" w:rsidRDefault="001D15C4" w:rsidP="001D15C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Обязать Региональный фонд содействия капитальному ремонту общего имущества в многоквартирных домах Свердловской области сделать перерасчет взносов на капитальный ремонт, исключив задолженность в размере 25868,02 рублей. </w:t>
      </w:r>
    </w:p>
    <w:p w:rsidR="001D15C4" w:rsidRDefault="001D15C4" w:rsidP="001D15C4">
      <w:pPr>
        <w:pStyle w:val="a3"/>
        <w:ind w:left="720"/>
        <w:jc w:val="both"/>
        <w:rPr>
          <w:sz w:val="24"/>
          <w:szCs w:val="24"/>
        </w:rPr>
      </w:pPr>
    </w:p>
    <w:p w:rsidR="001D15C4" w:rsidRDefault="001D15C4" w:rsidP="001D15C4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1D15C4" w:rsidRDefault="001D15C4" w:rsidP="001D15C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паспорта;</w:t>
      </w:r>
    </w:p>
    <w:p w:rsidR="001D15C4" w:rsidRDefault="001D15C4" w:rsidP="001D15C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Опись вложения документов об отправке иска ответчику;</w:t>
      </w:r>
    </w:p>
    <w:p w:rsidR="001D15C4" w:rsidRDefault="001D15C4" w:rsidP="001D15C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свидетельства о регистрации права собственности;</w:t>
      </w:r>
    </w:p>
    <w:p w:rsidR="001D15C4" w:rsidRDefault="001D15C4" w:rsidP="001D15C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квитанции по оплате взносов на капитальный ремонт за февраль 2020 года и январь 2021 года. </w:t>
      </w:r>
    </w:p>
    <w:p w:rsidR="001D15C4" w:rsidRDefault="001D15C4" w:rsidP="001D15C4">
      <w:pPr>
        <w:pStyle w:val="a3"/>
        <w:jc w:val="both"/>
        <w:rPr>
          <w:sz w:val="24"/>
          <w:szCs w:val="24"/>
        </w:rPr>
      </w:pPr>
    </w:p>
    <w:p w:rsidR="001D15C4" w:rsidRDefault="001D15C4" w:rsidP="001D15C4">
      <w:pPr>
        <w:pStyle w:val="a3"/>
        <w:jc w:val="both"/>
        <w:rPr>
          <w:sz w:val="24"/>
          <w:szCs w:val="24"/>
        </w:rPr>
      </w:pPr>
    </w:p>
    <w:p w:rsidR="001D15C4" w:rsidRDefault="001D15C4" w:rsidP="001D15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Ф.И.О.   ___________________</w:t>
      </w:r>
    </w:p>
    <w:p w:rsidR="001D15C4" w:rsidRDefault="001D15C4" w:rsidP="001D15C4">
      <w:pPr>
        <w:pStyle w:val="a3"/>
        <w:jc w:val="both"/>
        <w:rPr>
          <w:sz w:val="24"/>
          <w:szCs w:val="24"/>
        </w:rPr>
      </w:pPr>
    </w:p>
    <w:p w:rsidR="001D15C4" w:rsidRPr="003A1473" w:rsidRDefault="001D15C4" w:rsidP="001D15C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____________________</w:t>
      </w:r>
    </w:p>
    <w:p w:rsidR="001D15C4" w:rsidRPr="007A3564" w:rsidRDefault="001D15C4" w:rsidP="001D15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822" w:rsidRDefault="00936822"/>
    <w:sectPr w:rsidR="0093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C79"/>
    <w:multiLevelType w:val="hybridMultilevel"/>
    <w:tmpl w:val="481A664E"/>
    <w:lvl w:ilvl="0" w:tplc="50CAE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4015D"/>
    <w:multiLevelType w:val="hybridMultilevel"/>
    <w:tmpl w:val="191E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C4"/>
    <w:rsid w:val="001D15C4"/>
    <w:rsid w:val="0074149F"/>
    <w:rsid w:val="0093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406CC-FBE2-43D6-95CB-4A1A81DA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5C4"/>
    <w:pPr>
      <w:spacing w:after="0" w:line="240" w:lineRule="auto"/>
    </w:pPr>
  </w:style>
  <w:style w:type="table" w:styleId="a4">
    <w:name w:val="Table Grid"/>
    <w:basedOn w:val="a1"/>
    <w:uiPriority w:val="39"/>
    <w:rsid w:val="001D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 Наталья</dc:creator>
  <cp:keywords/>
  <dc:description/>
  <cp:lastModifiedBy>Рожко Наталья</cp:lastModifiedBy>
  <cp:revision>1</cp:revision>
  <dcterms:created xsi:type="dcterms:W3CDTF">2021-03-16T08:33:00Z</dcterms:created>
  <dcterms:modified xsi:type="dcterms:W3CDTF">2021-03-16T08:34:00Z</dcterms:modified>
</cp:coreProperties>
</file>