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16E05" w14:textId="697ECF07" w:rsidR="00BC276F" w:rsidRDefault="00BE7552">
      <w:pPr>
        <w:rPr>
          <w:lang w:val="ru-RU"/>
        </w:rPr>
      </w:pPr>
      <w:r w:rsidRPr="00BE7552">
        <w:rPr>
          <w:lang w:val="ru-RU"/>
        </w:rPr>
        <w:t>В соответствии с разъяснениями, изложенными в пункте 34 постановления Пленума Верховного Суда Российской Федерации от 13.10.2015 № 45 «О некоторых вопросах, связанных с введением в действие процедур, применяемых в делах о несостоятельности (банкротстве) граждан», план реструктуризации долгов может предусматривать, что цель восстановления платежеспособности должника будет считаться достигнутой, если по окончании срока его реализации должник не будет иметь просроченных обязательств и будет способен продолжить исполнять свои обязательства, срок исполнения которых (без учета правила абзаца второго пункта 2 статьи 213.11 Закона о банкротстве) к моменту окончания срока реализации плана не наступил.</w:t>
      </w:r>
    </w:p>
    <w:p w14:paraId="67CE86CF" w14:textId="3D11DECA" w:rsidR="00BE7552" w:rsidRPr="00BE7552" w:rsidRDefault="00BE7552">
      <w:pPr>
        <w:rPr>
          <w:lang w:val="ru-RU"/>
        </w:rPr>
      </w:pPr>
      <w:r w:rsidRPr="00BE7552">
        <w:rPr>
          <w:lang w:val="ru-RU"/>
        </w:rPr>
        <w:t>Иными словами, план реструктуризации не ограничивается полным удовлетворением требований кредиторов в установленные сроки, поскольку может считаться исполненным и в случае стабилизации финансового состояния должника в степени, позволяющей исполнение периодических платежей в соответствии с условиями обязательств.</w:t>
      </w:r>
    </w:p>
    <w:p w14:paraId="746C44ED" w14:textId="75FE0E3C" w:rsidR="00BE7552" w:rsidRPr="00BE7552" w:rsidRDefault="00BE7552">
      <w:pPr>
        <w:rPr>
          <w:lang w:val="ru-RU"/>
        </w:rPr>
      </w:pPr>
      <w:r w:rsidRPr="00BE7552">
        <w:rPr>
          <w:lang w:val="ru-RU"/>
        </w:rPr>
        <w:t>Не запрещено (исходя из субъектного состава правоотношений с участием гражданина, находящегося в процедурах банкротства) и прощение части долга, списание штрафных санкций, установление моратория на начисление процентов в конкретные периоды времени, в целях создания добросовестному заемщику благоприятного режима погашения долга. План реструктуризации может предусматривать снижение кредитного бремени для добросовестного заемщика с соблюдением баланса прав и законных интересов должника и кредиторов, заинтересованных, по общему правилу, в получении причитающегося с него, а не списании долгов (признании их погашенными вследствие завершения процедур банкротства).</w:t>
      </w:r>
    </w:p>
    <w:p w14:paraId="3CEF1D89" w14:textId="77777777" w:rsidR="00BE7552" w:rsidRDefault="00BE7552">
      <w:pPr>
        <w:rPr>
          <w:lang w:val="ru-RU"/>
        </w:rPr>
      </w:pPr>
      <w:r w:rsidRPr="00BE7552">
        <w:rPr>
          <w:lang w:val="ru-RU"/>
        </w:rPr>
        <w:t xml:space="preserve">Данные обстоятельства позволяют прийти к выводу о том, что </w:t>
      </w:r>
      <w:r>
        <w:rPr>
          <w:lang w:val="ru-RU"/>
        </w:rPr>
        <w:t>ФИО ______________</w:t>
      </w:r>
      <w:r w:rsidRPr="00BE7552">
        <w:rPr>
          <w:lang w:val="ru-RU"/>
        </w:rPr>
        <w:t xml:space="preserve">, имея значительный и стабильный размер дохода, соответствует требованиям статьи 213.13 для утверждения плана реструктуризации долгов гражданина. </w:t>
      </w:r>
    </w:p>
    <w:p w14:paraId="42353757" w14:textId="5E4CA1FC" w:rsidR="00BE7552" w:rsidRDefault="00BE7552">
      <w:pPr>
        <w:rPr>
          <w:lang w:val="ru-RU"/>
        </w:rPr>
      </w:pPr>
      <w:r w:rsidRPr="00BE7552">
        <w:rPr>
          <w:lang w:val="ru-RU"/>
        </w:rPr>
        <w:t>С учетом стабильного дохода должника доводы о нецелесообразности введения процедуры реструктуризации долгов гражданина по причине невозможности полного погашения оставшихся требований кредиторов не могут быть признаны обоснованными. К тому же на стадии утверждения плана реструктуризации кредитор и должник могут достигнуть соглашения о списании части долга.</w:t>
      </w:r>
    </w:p>
    <w:p w14:paraId="6A75BB03" w14:textId="40198B0F" w:rsidR="00BE7552" w:rsidRPr="00BE7552" w:rsidRDefault="00BE7552">
      <w:pPr>
        <w:rPr>
          <w:lang w:val="ru-RU"/>
        </w:rPr>
      </w:pPr>
      <w:r w:rsidRPr="00BE7552">
        <w:rPr>
          <w:lang w:val="ru-RU"/>
        </w:rPr>
        <w:t>При этом бесперспективность реструктуризации не может быть констатирована арбитражным судом в отсутствие доказательств предшествующей достаточной и добросовестной активности должника в получении дохода, как источника для погашения требований кредиторов.</w:t>
      </w:r>
    </w:p>
    <w:p w14:paraId="1AA30131" w14:textId="3D352174" w:rsidR="00BE7552" w:rsidRPr="00BE7552" w:rsidRDefault="00BE7552">
      <w:pPr>
        <w:rPr>
          <w:lang w:val="ru-RU"/>
        </w:rPr>
      </w:pPr>
      <w:r w:rsidRPr="00BE7552">
        <w:rPr>
          <w:lang w:val="ru-RU"/>
        </w:rPr>
        <w:t>Процедура реструктуризации долгов направлена на обеспечение баланса интересов как должника, так и его кредиторов. Исходя из плана реструктуризации, кредиторы вправе рассчитывать на предполагаемые по обстоятельствам его составления будущие доходы неплатежеспособного должника.</w:t>
      </w:r>
    </w:p>
    <w:p w14:paraId="6C55767B" w14:textId="0988D459" w:rsidR="00BE7552" w:rsidRPr="00BE7552" w:rsidRDefault="00BE7552">
      <w:pPr>
        <w:rPr>
          <w:lang w:val="ru-RU"/>
        </w:rPr>
      </w:pPr>
      <w:r w:rsidRPr="00BE7552">
        <w:rPr>
          <w:lang w:val="ru-RU"/>
        </w:rPr>
        <w:t>Должник является трудоспособным, следовательно, должник может попытаться реструктуризировать задолженность.</w:t>
      </w:r>
    </w:p>
    <w:p w14:paraId="4C79A803" w14:textId="6067D17B" w:rsidR="00BE7552" w:rsidRPr="00BE7552" w:rsidRDefault="00BE7552">
      <w:pPr>
        <w:rPr>
          <w:lang w:val="ru-RU"/>
        </w:rPr>
      </w:pPr>
      <w:r w:rsidRPr="00BE7552">
        <w:rPr>
          <w:lang w:val="ru-RU"/>
        </w:rPr>
        <w:t>Доказательства прекращения трудовой деятельности в материалы дела не представлены</w:t>
      </w:r>
    </w:p>
    <w:p w14:paraId="1C082993" w14:textId="166DFEE9" w:rsidR="00BE7552" w:rsidRPr="00BE7552" w:rsidRDefault="00BE7552">
      <w:pPr>
        <w:rPr>
          <w:lang w:val="ru-RU"/>
        </w:rPr>
      </w:pPr>
      <w:r w:rsidRPr="00BE7552">
        <w:rPr>
          <w:lang w:val="ru-RU"/>
        </w:rPr>
        <w:t xml:space="preserve">При этом разъяснения, содержащиеся в пункте 39 Постановления Пленума Верховного Суда Российской Федерации от 13.10.2015 № 45 «О некоторых вопросах, связанных с введением в действие процедур, применяемых в делах о несостоятельности (банкротстве) граждан», пункте 2 Постановления Пленума Верховного Суда Российской Федерации от 25.12.2018 № 48 «О некоторых </w:t>
      </w:r>
      <w:r w:rsidRPr="00BE7552">
        <w:rPr>
          <w:lang w:val="ru-RU"/>
        </w:rPr>
        <w:lastRenderedPageBreak/>
        <w:t>вопросах, связанных с особенностями формирования и распределения конкурсной массы в делах о банкротстве граждан», ориентируют суды при рассмотрении дел о несостоятельности физических лиц на принятие мер к установлению баланса интересов участников конкурсного процесса.</w:t>
      </w:r>
    </w:p>
    <w:p w14:paraId="42DDD551" w14:textId="1C837B92" w:rsidR="00BE7552" w:rsidRPr="00BE7552" w:rsidRDefault="00BE7552">
      <w:pPr>
        <w:rPr>
          <w:lang w:val="ru-RU"/>
        </w:rPr>
      </w:pPr>
      <w:r w:rsidRPr="00BE7552">
        <w:rPr>
          <w:lang w:val="ru-RU"/>
        </w:rPr>
        <w:t>С учетом приведенных законоположений и актов их толкования суд в целях обеспечения баланса интересов должника и кредитора допускает юридическую возможность применения в настоящем деле института прекращения процедуры реализации имущества должника и перехода к процедуре реструктуризации долгов гражданина.</w:t>
      </w:r>
    </w:p>
    <w:p w14:paraId="5B73A7C2" w14:textId="69B66DC6" w:rsidR="00BE7552" w:rsidRPr="00BE7552" w:rsidRDefault="00BE7552">
      <w:pPr>
        <w:rPr>
          <w:lang w:val="ru-RU"/>
        </w:rPr>
      </w:pPr>
      <w:r w:rsidRPr="00BE7552">
        <w:rPr>
          <w:lang w:val="ru-RU"/>
        </w:rPr>
        <w:t>В Определении Верховного Суда РФ от 04.02.2019 № 305-ЭС18-13822 по делу № А40- 109796/2017 содержится правовая позиция, согласно которой Закон о банкротстве допускает возможность прекращения процедуры реализации имущества и перехода к процедуре реструктуризации долгов (пункт 1 статьи 146, пункт 1 статьи 213.1 Закона о банкротстве, пункт 1 статьи 6 Гражданского кодекса Российской Федерации).</w:t>
      </w:r>
    </w:p>
    <w:p w14:paraId="7DC4F574" w14:textId="759B2C38" w:rsidR="00BE7552" w:rsidRPr="00BE7552" w:rsidRDefault="00BE7552">
      <w:pPr>
        <w:rPr>
          <w:lang w:val="ru-RU"/>
        </w:rPr>
      </w:pPr>
      <w:r w:rsidRPr="00BE7552">
        <w:rPr>
          <w:lang w:val="ru-RU"/>
        </w:rPr>
        <w:t>При этом целью введения процедуры несостоятельности (банкротства) гражданина является не списание долгов гражданина, а урегулирование порядка погашения задолженности перед кредиторами.</w:t>
      </w:r>
    </w:p>
    <w:p w14:paraId="6A660206" w14:textId="6DFE07F5" w:rsidR="00BE7552" w:rsidRDefault="00BE7552">
      <w:pPr>
        <w:rPr>
          <w:lang w:val="ru-RU"/>
        </w:rPr>
      </w:pPr>
      <w:r w:rsidRPr="00BE7552">
        <w:rPr>
          <w:lang w:val="ru-RU"/>
        </w:rPr>
        <w:t>Как отмечает Верховный Суд Российской Федерации, банкротство граждан представляет собой экстраординарный механизм списания долгов. В такой ситуации права кредиторов ущемлены, поэтому судам следует оценивать поведение должников с особой строгостью. Даже внешне законные действия могут быть признаны недобросовестными. По общему правилу обычным способом прекращения гражданско-правовых обязательств и публичных обязанностей является их надлежащее исполнение (пункт 1 статьи 408 ГК РФ, статья 45 Налогового кодекса Российской Федерации и т.д.). Институт банкротства граждан предусматривает иной механизм освобождения лиц, попавших в тяжелое финансовое положение, от погашения требований кредиторов, - списание долгов. При этом целью института потребительского банкротства является социальная реабилитация гражданина - предоставление ему возможности заново выстроить экономические отношения, законно избавившись от необходимости отвечать по старым обязательствам, чем в определенной степени ущемляются права кредиторов, рассчитывавших на получение причитающегося им. Соответствующая позиция изложена в Определении Верховного Суда Российской Федерации от 25.01.2018 № 310-ЭС17-14013.</w:t>
      </w:r>
    </w:p>
    <w:p w14:paraId="7B6BD70F" w14:textId="77777777" w:rsidR="00B505C5" w:rsidRPr="00BE7552" w:rsidRDefault="00B505C5">
      <w:pPr>
        <w:rPr>
          <w:lang w:val="ru-RU"/>
        </w:rPr>
      </w:pPr>
    </w:p>
    <w:p w14:paraId="5650C79C" w14:textId="77777777" w:rsidR="00BE7552" w:rsidRDefault="00BE7552">
      <w:pPr>
        <w:rPr>
          <w:lang w:val="ru-RU"/>
        </w:rPr>
      </w:pPr>
    </w:p>
    <w:p w14:paraId="3AAF9394" w14:textId="77777777" w:rsidR="00BE7552" w:rsidRDefault="00BE7552">
      <w:pPr>
        <w:rPr>
          <w:lang w:val="ru-RU"/>
        </w:rPr>
      </w:pPr>
    </w:p>
    <w:p w14:paraId="0B0C7931" w14:textId="77777777" w:rsidR="00BE7552" w:rsidRDefault="00BE7552">
      <w:pPr>
        <w:rPr>
          <w:lang w:val="ru-RU"/>
        </w:rPr>
      </w:pPr>
    </w:p>
    <w:p w14:paraId="12558A29" w14:textId="77777777" w:rsidR="00BE7552" w:rsidRDefault="00BE7552">
      <w:pPr>
        <w:rPr>
          <w:lang w:val="ru-RU"/>
        </w:rPr>
      </w:pPr>
    </w:p>
    <w:p w14:paraId="40175449" w14:textId="77777777" w:rsidR="00BE7552" w:rsidRDefault="00BE7552">
      <w:pPr>
        <w:rPr>
          <w:lang w:val="ru-RU"/>
        </w:rPr>
      </w:pPr>
    </w:p>
    <w:p w14:paraId="32B0E9DA" w14:textId="77777777" w:rsidR="00BE7552" w:rsidRDefault="00BE7552">
      <w:pPr>
        <w:rPr>
          <w:lang w:val="ru-RU"/>
        </w:rPr>
      </w:pPr>
    </w:p>
    <w:p w14:paraId="7C192EC0" w14:textId="77777777" w:rsidR="00BE7552" w:rsidRDefault="00BE7552">
      <w:pPr>
        <w:rPr>
          <w:lang w:val="ru-RU"/>
        </w:rPr>
      </w:pPr>
    </w:p>
    <w:p w14:paraId="026BB304" w14:textId="77777777" w:rsidR="00BE7552" w:rsidRDefault="00BE7552">
      <w:pPr>
        <w:rPr>
          <w:lang w:val="ru-RU"/>
        </w:rPr>
      </w:pPr>
    </w:p>
    <w:p w14:paraId="5F991C69" w14:textId="77777777" w:rsidR="00BE7552" w:rsidRDefault="00BE7552">
      <w:pPr>
        <w:rPr>
          <w:lang w:val="ru-RU"/>
        </w:rPr>
      </w:pPr>
    </w:p>
    <w:p w14:paraId="2F9B71F6" w14:textId="77777777" w:rsidR="00BE7552" w:rsidRDefault="00BE7552">
      <w:pPr>
        <w:rPr>
          <w:lang w:val="ru-RU"/>
        </w:rPr>
      </w:pPr>
    </w:p>
    <w:p w14:paraId="4E7985ED" w14:textId="77777777" w:rsidR="00BE7552" w:rsidRDefault="00BE7552">
      <w:pPr>
        <w:rPr>
          <w:lang w:val="ru-RU"/>
        </w:rPr>
      </w:pPr>
    </w:p>
    <w:p w14:paraId="3BC5E0DB" w14:textId="77777777" w:rsidR="00BE7552" w:rsidRDefault="00BE7552">
      <w:pPr>
        <w:rPr>
          <w:lang w:val="ru-RU"/>
        </w:rPr>
      </w:pPr>
    </w:p>
    <w:p w14:paraId="6733D554" w14:textId="77777777" w:rsidR="00BE7552" w:rsidRDefault="00BE7552">
      <w:pPr>
        <w:rPr>
          <w:lang w:val="ru-RU"/>
        </w:rPr>
      </w:pPr>
    </w:p>
    <w:p w14:paraId="72D9CB7C" w14:textId="77777777" w:rsidR="00BE7552" w:rsidRPr="00BE7552" w:rsidRDefault="00BE7552">
      <w:pPr>
        <w:rPr>
          <w:lang w:val="ru-RU"/>
        </w:rPr>
      </w:pPr>
    </w:p>
    <w:sectPr w:rsidR="00BE7552" w:rsidRPr="00BE755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52"/>
    <w:rsid w:val="00B505C5"/>
    <w:rsid w:val="00BC276F"/>
    <w:rsid w:val="00BE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89EAE"/>
  <w15:chartTrackingRefBased/>
  <w15:docId w15:val="{F95AD90A-4499-4633-918F-DF56A00E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848</Words>
  <Characters>4839</Characters>
  <Application>Microsoft Office Word</Application>
  <DocSecurity>0</DocSecurity>
  <Lines>40</Lines>
  <Paragraphs>11</Paragraphs>
  <ScaleCrop>false</ScaleCrop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Соболев</dc:creator>
  <cp:keywords/>
  <dc:description/>
  <cp:lastModifiedBy>Олег Соболев</cp:lastModifiedBy>
  <cp:revision>2</cp:revision>
  <dcterms:created xsi:type="dcterms:W3CDTF">2024-04-13T16:10:00Z</dcterms:created>
  <dcterms:modified xsi:type="dcterms:W3CDTF">2024-04-13T16:13:00Z</dcterms:modified>
</cp:coreProperties>
</file>